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07" w:rsidRDefault="002C5635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2C5635">
        <w:rPr>
          <w:rFonts w:ascii="Tahoma" w:hAnsi="Tahoma" w:cs="Tahoma"/>
          <w:color w:val="000000"/>
          <w:sz w:val="20"/>
          <w:szCs w:val="20"/>
        </w:rPr>
        <w:instrText>https://bryansk.fas.gov.ru/news/16024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A1713D">
        <w:rPr>
          <w:rStyle w:val="a6"/>
          <w:rFonts w:ascii="Tahoma" w:hAnsi="Tahoma" w:cs="Tahoma"/>
          <w:sz w:val="20"/>
          <w:szCs w:val="20"/>
        </w:rPr>
        <w:t>https://bryansk.fas.gov.ru/news/16024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2C5635" w:rsidRDefault="002C5635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30.05.2019г. по 04.06.2019г.</w:t>
      </w: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30 мая по 03 июня 2019 года розничные цены на нефтепродукты увеличились:</w:t>
      </w:r>
    </w:p>
    <w:p w:rsidR="00BA1CDC" w:rsidRPr="00BA1CDC" w:rsidRDefault="00BA1CDC" w:rsidP="00BA1CDC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 xml:space="preserve">             на АЗС бренд ОАО «НК Роснефть», а именно: Аи - 92 на 0,30 </w:t>
      </w:r>
      <w:proofErr w:type="gramStart"/>
      <w:r w:rsidRPr="00BA1CDC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BA1CDC">
        <w:rPr>
          <w:rFonts w:ascii="Tahoma" w:hAnsi="Tahoma" w:cs="Tahoma"/>
          <w:color w:val="000000"/>
          <w:sz w:val="20"/>
          <w:szCs w:val="20"/>
        </w:rPr>
        <w:t>0,72%), Аи - 95 на 0,30 руб.(0,67%);</w:t>
      </w: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 xml:space="preserve">            АЗС бренд ПАО НК «Лукойл», а именно: Аи - 92 на 0,30 </w:t>
      </w:r>
      <w:proofErr w:type="gramStart"/>
      <w:r w:rsidRPr="00BA1CDC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BA1CDC">
        <w:rPr>
          <w:rFonts w:ascii="Tahoma" w:hAnsi="Tahoma" w:cs="Tahoma"/>
          <w:color w:val="000000"/>
          <w:sz w:val="20"/>
          <w:szCs w:val="20"/>
        </w:rPr>
        <w:t>0,69%), Аи - 95 на 0,10 руб.(0,32%);</w:t>
      </w: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 xml:space="preserve">            АЗС бренд «Газпром», а именно: Аи - 92 на 0,20 </w:t>
      </w:r>
      <w:proofErr w:type="gramStart"/>
      <w:r w:rsidRPr="00BA1CDC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BA1CDC">
        <w:rPr>
          <w:rFonts w:ascii="Tahoma" w:hAnsi="Tahoma" w:cs="Tahoma"/>
          <w:color w:val="000000"/>
          <w:sz w:val="20"/>
          <w:szCs w:val="20"/>
        </w:rPr>
        <w:t>0,48%), Аи - 95 на 0,20 руб.(0,44%);</w:t>
      </w: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>                        По состоянию на 04.06.2019 года установлены следующие розничные цены на АЗС города Брянска и Брянской области (руб./л.).</w:t>
      </w:r>
    </w:p>
    <w:p w:rsidR="00BA1CDC" w:rsidRPr="00BA1CDC" w:rsidRDefault="00BA1CDC" w:rsidP="00BA1CD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A1CDC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BA1CDC" w:rsidRPr="00BA1CDC" w:rsidTr="00BA1CDC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BA1CDC" w:rsidRPr="00BA1CDC" w:rsidTr="00BA1CD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45,20</w:t>
            </w:r>
          </w:p>
        </w:tc>
      </w:tr>
      <w:tr w:rsidR="00BA1CDC" w:rsidRPr="00BA1CDC" w:rsidTr="00BA1CDC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46,98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BA1CDC" w:rsidRPr="00BA1CDC" w:rsidTr="00BA1CDC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40,69-41,69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43,79-44,79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44,99-45,49/</w:t>
            </w:r>
          </w:p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A1CDC" w:rsidRPr="00BA1CDC" w:rsidTr="00BA1CD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BA1CDC" w:rsidRPr="00BA1CDC" w:rsidRDefault="00BA1CDC" w:rsidP="00BA1CD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41,07-41,27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44,07-44,27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CDC" w:rsidRPr="00BA1CDC" w:rsidRDefault="00BA1CDC" w:rsidP="00BA1CD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1CDC">
              <w:rPr>
                <w:rFonts w:ascii="Tahoma" w:hAnsi="Tahoma" w:cs="Tahoma"/>
                <w:color w:val="000000"/>
                <w:sz w:val="20"/>
                <w:szCs w:val="20"/>
              </w:rPr>
              <w:t>45,57-45,67/</w:t>
            </w:r>
          </w:p>
        </w:tc>
      </w:tr>
    </w:tbl>
    <w:p w:rsidR="00C2008D" w:rsidRPr="007E0407" w:rsidRDefault="00C2008D" w:rsidP="007E0407"/>
    <w:sectPr w:rsidR="00C2008D" w:rsidRPr="007E04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C5635"/>
    <w:rsid w:val="003651F6"/>
    <w:rsid w:val="004F5378"/>
    <w:rsid w:val="007E0407"/>
    <w:rsid w:val="009B7888"/>
    <w:rsid w:val="00AA1FD9"/>
    <w:rsid w:val="00B23A96"/>
    <w:rsid w:val="00BA1CDC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5</cp:revision>
  <dcterms:created xsi:type="dcterms:W3CDTF">2019-06-07T15:58:00Z</dcterms:created>
  <dcterms:modified xsi:type="dcterms:W3CDTF">2019-06-07T16:00:00Z</dcterms:modified>
</cp:coreProperties>
</file>